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1B09" w:rsidRPr="00ED1B09" w:rsidRDefault="00ED1B09" w:rsidP="00ED1B09">
      <w:pPr>
        <w:spacing w:after="0"/>
        <w:ind w:left="-284"/>
        <w:rPr>
          <w:rFonts w:ascii="Calibri" w:eastAsia="Calibri" w:hAnsi="Calibri" w:cs="Times New Roman"/>
          <w:b/>
          <w:sz w:val="32"/>
          <w:szCs w:val="32"/>
          <w:lang w:val="en-GB" w:eastAsia="en-US"/>
        </w:rPr>
      </w:pPr>
      <w:r w:rsidRPr="00ED1B09">
        <w:rPr>
          <w:rFonts w:ascii="Calibri" w:eastAsia="Calibri" w:hAnsi="Calibri" w:cs="Times New Roman"/>
          <w:noProof/>
          <w:lang w:val="ca-ES" w:eastAsia="ca-ES"/>
        </w:rPr>
        <w:drawing>
          <wp:anchor distT="0" distB="0" distL="114300" distR="114300" simplePos="0" relativeHeight="251659264" behindDoc="0" locked="0" layoutInCell="1" allowOverlap="1" wp14:anchorId="6024C76B" wp14:editId="7E032CE2">
            <wp:simplePos x="0" y="0"/>
            <wp:positionH relativeFrom="column">
              <wp:posOffset>4210050</wp:posOffset>
            </wp:positionH>
            <wp:positionV relativeFrom="paragraph">
              <wp:posOffset>-209550</wp:posOffset>
            </wp:positionV>
            <wp:extent cx="1685925" cy="1297275"/>
            <wp:effectExtent l="0" t="0" r="0" b="0"/>
            <wp:wrapNone/>
            <wp:docPr id="9" name="Picture 4" descr="CEP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P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234" cy="1299052"/>
                    </a:xfrm>
                    <a:prstGeom prst="rect">
                      <a:avLst/>
                    </a:prstGeom>
                    <a:noFill/>
                  </pic:spPr>
                </pic:pic>
              </a:graphicData>
            </a:graphic>
            <wp14:sizeRelH relativeFrom="page">
              <wp14:pctWidth>0</wp14:pctWidth>
            </wp14:sizeRelH>
            <wp14:sizeRelV relativeFrom="page">
              <wp14:pctHeight>0</wp14:pctHeight>
            </wp14:sizeRelV>
          </wp:anchor>
        </w:drawing>
      </w:r>
      <w:r w:rsidRPr="00ED1B09">
        <w:rPr>
          <w:rFonts w:ascii="Calibri" w:eastAsia="Calibri" w:hAnsi="Calibri" w:cs="Times New Roman"/>
          <w:noProof/>
          <w:lang w:val="ca-ES" w:eastAsia="ca-ES"/>
        </w:rPr>
        <mc:AlternateContent>
          <mc:Choice Requires="wps">
            <w:drawing>
              <wp:anchor distT="0" distB="0" distL="114300" distR="114300" simplePos="0" relativeHeight="251660288" behindDoc="0" locked="0" layoutInCell="1" allowOverlap="1" wp14:anchorId="5ADDD236" wp14:editId="0AD6420E">
                <wp:simplePos x="0" y="0"/>
                <wp:positionH relativeFrom="column">
                  <wp:posOffset>1914525</wp:posOffset>
                </wp:positionH>
                <wp:positionV relativeFrom="paragraph">
                  <wp:posOffset>-38100</wp:posOffset>
                </wp:positionV>
                <wp:extent cx="2171700" cy="942975"/>
                <wp:effectExtent l="0" t="0" r="0" b="9525"/>
                <wp:wrapNone/>
                <wp:docPr id="5" name="Textfeld 5"/>
                <wp:cNvGraphicFramePr/>
                <a:graphic xmlns:a="http://schemas.openxmlformats.org/drawingml/2006/main">
                  <a:graphicData uri="http://schemas.microsoft.com/office/word/2010/wordprocessingShape">
                    <wps:wsp>
                      <wps:cNvSpPr txBox="1"/>
                      <wps:spPr>
                        <a:xfrm>
                          <a:off x="0" y="0"/>
                          <a:ext cx="2171700" cy="942975"/>
                        </a:xfrm>
                        <a:prstGeom prst="rect">
                          <a:avLst/>
                        </a:prstGeom>
                        <a:solidFill>
                          <a:sysClr val="window" lastClr="FFFFFF"/>
                        </a:solidFill>
                        <a:ln w="6350">
                          <a:noFill/>
                        </a:ln>
                        <a:effectLst/>
                      </wps:spPr>
                      <wps:txbx>
                        <w:txbxContent>
                          <w:p w:rsidR="00ED1B09" w:rsidRDefault="00ED1B09" w:rsidP="00ED1B09">
                            <w:pPr>
                              <w:ind w:left="-57"/>
                            </w:pPr>
                            <w:r>
                              <w:rPr>
                                <w:noProof/>
                                <w:lang w:val="ca-ES" w:eastAsia="ca-ES"/>
                              </w:rPr>
                              <w:drawing>
                                <wp:inline distT="0" distB="0" distL="0" distR="0" wp14:anchorId="1390F4B1" wp14:editId="3B07EC17">
                                  <wp:extent cx="2137010" cy="828675"/>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2137" t="21680" b="24583"/>
                                          <a:stretch/>
                                        </pic:blipFill>
                                        <pic:spPr bwMode="auto">
                                          <a:xfrm>
                                            <a:off x="0" y="0"/>
                                            <a:ext cx="2138380" cy="82920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5" o:spid="_x0000_s1026" type="#_x0000_t202" style="position:absolute;left:0;text-align:left;margin-left:150.75pt;margin-top:-3pt;width:171pt;height:7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" fillcolor="window" stroked="f" strokeweight=".5pt">
                <v:textbox>
                  <w:txbxContent>
                    <w:p w:rsidR="00ED1B09" w:rsidRDefault="00ED1B09" w:rsidP="00ED1B09">
                      <w:pPr>
                        <w:ind w:left="-57"/>
                      </w:pPr>
                      <w:r>
                        <w:rPr>
                          <w:noProof/>
                          <w:lang w:val="ca-ES" w:eastAsia="ca-ES"/>
                        </w:rPr>
                        <w:drawing>
                          <wp:inline distT="0" distB="0" distL="0" distR="0" wp14:anchorId="1390F4B1" wp14:editId="3B07EC17">
                            <wp:extent cx="2137010" cy="828675"/>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l="2137" t="21680" b="24583"/>
                                    <a:stretch/>
                                  </pic:blipFill>
                                  <pic:spPr bwMode="auto">
                                    <a:xfrm>
                                      <a:off x="0" y="0"/>
                                      <a:ext cx="2138380" cy="82920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ED1B09">
        <w:rPr>
          <w:rFonts w:ascii="Helvetica" w:eastAsia="Calibri" w:hAnsi="Helvetica" w:cs="Times New Roman"/>
          <w:noProof/>
          <w:color w:val="0088CC"/>
          <w:sz w:val="11"/>
          <w:szCs w:val="11"/>
          <w:lang w:val="ca-ES" w:eastAsia="ca-ES"/>
        </w:rPr>
        <w:drawing>
          <wp:inline distT="0" distB="0" distL="0" distR="0" wp14:anchorId="58B0BDCB" wp14:editId="0F6E031E">
            <wp:extent cx="2095500" cy="1066800"/>
            <wp:effectExtent l="0" t="0" r="0" b="0"/>
            <wp:docPr id="10" name="Picture 1" descr="http://www.europris.org/wp-content/themes/europris/assets/europri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pris.org/wp-content/themes/europris/assets/europris_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1066800"/>
                    </a:xfrm>
                    <a:prstGeom prst="rect">
                      <a:avLst/>
                    </a:prstGeom>
                    <a:noFill/>
                    <a:ln>
                      <a:noFill/>
                    </a:ln>
                  </pic:spPr>
                </pic:pic>
              </a:graphicData>
            </a:graphic>
          </wp:inline>
        </w:drawing>
      </w:r>
    </w:p>
    <w:p w:rsidR="00ED1B09" w:rsidRPr="00ED1B09" w:rsidRDefault="00ED1B09" w:rsidP="00ED1B09">
      <w:pPr>
        <w:jc w:val="center"/>
        <w:rPr>
          <w:rFonts w:ascii="Calibri" w:eastAsia="Calibri" w:hAnsi="Calibri" w:cs="Times New Roman"/>
          <w:b/>
          <w:color w:val="7F7F7F"/>
          <w:spacing w:val="40"/>
          <w:sz w:val="32"/>
          <w:szCs w:val="32"/>
          <w:lang w:val="en-GB" w:eastAsia="en-US"/>
        </w:rPr>
      </w:pPr>
      <w:r w:rsidRPr="00ED1B09">
        <w:rPr>
          <w:rFonts w:ascii="Calibri" w:eastAsia="Calibri" w:hAnsi="Calibri" w:cs="Times New Roman"/>
          <w:b/>
          <w:color w:val="7F7F7F"/>
          <w:spacing w:val="40"/>
          <w:sz w:val="44"/>
          <w:szCs w:val="44"/>
          <w:lang w:val="en-GB" w:eastAsia="en-US"/>
        </w:rPr>
        <w:t>Criminal Justice Platform Europe</w:t>
      </w:r>
    </w:p>
    <w:p w:rsidR="00BD44E5" w:rsidRDefault="00897951">
      <w:pPr>
        <w:wordWrap w:val="0"/>
        <w:rPr>
          <w:rFonts w:cs="Arial"/>
          <w:b/>
          <w:sz w:val="28"/>
        </w:rPr>
      </w:pPr>
      <w:proofErr w:type="spellStart"/>
      <w:r>
        <w:rPr>
          <w:rFonts w:cs="Arial"/>
          <w:b/>
          <w:sz w:val="28"/>
          <w:u w:val="single"/>
        </w:rPr>
        <w:t>Radicalisation</w:t>
      </w:r>
      <w:proofErr w:type="spellEnd"/>
      <w:r>
        <w:rPr>
          <w:rFonts w:cs="Arial"/>
          <w:b/>
          <w:sz w:val="28"/>
          <w:u w:val="single"/>
        </w:rPr>
        <w:t xml:space="preserve"> and Violent Extremism Conference, Barcelona, 14th October 2015</w:t>
      </w:r>
      <w:r>
        <w:rPr>
          <w:rFonts w:cs="Arial"/>
          <w:b/>
          <w:sz w:val="28"/>
        </w:rPr>
        <w:t xml:space="preserve"> </w:t>
      </w:r>
    </w:p>
    <w:p w:rsidR="00BD44E5" w:rsidRPr="00ED1B09" w:rsidRDefault="00897951">
      <w:pPr>
        <w:wordWrap w:val="0"/>
        <w:rPr>
          <w:rFonts w:cs="Arial"/>
        </w:rPr>
      </w:pPr>
      <w:r w:rsidRPr="007519B7">
        <w:rPr>
          <w:rFonts w:cs="Arial"/>
          <w:b/>
          <w:sz w:val="32"/>
          <w:szCs w:val="32"/>
        </w:rPr>
        <w:t xml:space="preserve">Criminal Justice Platform/Centre of Legal Studies </w:t>
      </w:r>
    </w:p>
    <w:p w:rsidR="00BD44E5" w:rsidRPr="007519B7" w:rsidRDefault="007519B7">
      <w:pPr>
        <w:wordWrap w:val="0"/>
        <w:rPr>
          <w:rFonts w:cs="Arial"/>
          <w:b/>
          <w:sz w:val="32"/>
          <w:szCs w:val="32"/>
        </w:rPr>
      </w:pPr>
      <w:r w:rsidRPr="007519B7">
        <w:rPr>
          <w:rFonts w:cs="Arial"/>
          <w:b/>
          <w:sz w:val="32"/>
          <w:szCs w:val="32"/>
        </w:rPr>
        <w:t>Workshop 1</w:t>
      </w:r>
      <w:r w:rsidR="00897951" w:rsidRPr="007519B7">
        <w:rPr>
          <w:rFonts w:cs="Arial"/>
          <w:b/>
          <w:sz w:val="32"/>
          <w:szCs w:val="32"/>
        </w:rPr>
        <w:t xml:space="preserve"> </w:t>
      </w:r>
    </w:p>
    <w:p w:rsidR="00BD44E5" w:rsidRDefault="00897951">
      <w:pPr>
        <w:wordWrap w:val="0"/>
        <w:rPr>
          <w:rFonts w:cs="Arial"/>
        </w:rPr>
      </w:pPr>
      <w:r w:rsidRPr="007519B7">
        <w:rPr>
          <w:rFonts w:cs="Arial"/>
          <w:b/>
        </w:rPr>
        <w:t>Chair:</w:t>
      </w:r>
      <w:r w:rsidR="00ED1B09">
        <w:rPr>
          <w:rFonts w:cs="Arial"/>
        </w:rPr>
        <w:t xml:space="preserve"> </w:t>
      </w:r>
      <w:r w:rsidR="007519B7">
        <w:rPr>
          <w:rFonts w:cs="Arial"/>
        </w:rPr>
        <w:t>Willem van der Brugge, Secretary General, CEP</w:t>
      </w:r>
    </w:p>
    <w:p w:rsidR="00BD44E5" w:rsidRDefault="00897951">
      <w:pPr>
        <w:wordWrap w:val="0"/>
        <w:rPr>
          <w:rFonts w:cs="Arial"/>
        </w:rPr>
      </w:pPr>
      <w:r w:rsidRPr="007519B7">
        <w:rPr>
          <w:rFonts w:cs="Arial"/>
          <w:b/>
        </w:rPr>
        <w:t>Experts</w:t>
      </w:r>
      <w:r w:rsidR="00ED1B09">
        <w:rPr>
          <w:rFonts w:cs="Arial"/>
        </w:rPr>
        <w:t xml:space="preserve">: </w:t>
      </w:r>
      <w:proofErr w:type="spellStart"/>
      <w:r>
        <w:rPr>
          <w:rFonts w:cs="Arial"/>
        </w:rPr>
        <w:t>Ms</w:t>
      </w:r>
      <w:proofErr w:type="spellEnd"/>
      <w:r>
        <w:rPr>
          <w:rFonts w:cs="Arial"/>
        </w:rPr>
        <w:t xml:space="preserve"> </w:t>
      </w:r>
      <w:r w:rsidR="007519B7">
        <w:rPr>
          <w:rFonts w:cs="Arial"/>
        </w:rPr>
        <w:t>Eve Entenmann,  International Centre for Counter Terrorism, (NL)</w:t>
      </w:r>
      <w:r w:rsidR="00ED1B09">
        <w:rPr>
          <w:rFonts w:cs="Arial"/>
        </w:rPr>
        <w:t xml:space="preserve"> </w:t>
      </w:r>
      <w:r w:rsidR="00ED1B09">
        <w:rPr>
          <w:rFonts w:cs="Arial"/>
        </w:rPr>
        <w:br/>
      </w:r>
      <w:proofErr w:type="spellStart"/>
      <w:r>
        <w:rPr>
          <w:rFonts w:cs="Arial"/>
        </w:rPr>
        <w:t>Mr</w:t>
      </w:r>
      <w:proofErr w:type="spellEnd"/>
      <w:r>
        <w:rPr>
          <w:rFonts w:cs="Arial"/>
        </w:rPr>
        <w:t xml:space="preserve"> </w:t>
      </w:r>
      <w:r w:rsidR="007519B7">
        <w:rPr>
          <w:rFonts w:cs="Arial"/>
        </w:rPr>
        <w:t>Alberto Olalde, School of Social Work, University of Basque Country, (E)</w:t>
      </w:r>
    </w:p>
    <w:p w:rsidR="00BD44E5" w:rsidRDefault="00897951">
      <w:pPr>
        <w:wordWrap w:val="0"/>
        <w:rPr>
          <w:rFonts w:cs="Arial"/>
        </w:rPr>
      </w:pPr>
      <w:r w:rsidRPr="007519B7">
        <w:rPr>
          <w:rFonts w:cs="Arial"/>
          <w:b/>
        </w:rPr>
        <w:t>Participants</w:t>
      </w:r>
      <w:r w:rsidR="00ED1B09">
        <w:rPr>
          <w:rFonts w:cs="Arial"/>
        </w:rPr>
        <w:t xml:space="preserve">: </w:t>
      </w:r>
      <w:r w:rsidR="007519B7">
        <w:rPr>
          <w:rFonts w:cs="Arial"/>
        </w:rPr>
        <w:t xml:space="preserve">20 </w:t>
      </w:r>
    </w:p>
    <w:p w:rsidR="00BD44E5" w:rsidRDefault="00897951">
      <w:pPr>
        <w:wordWrap w:val="0"/>
        <w:rPr>
          <w:rFonts w:cs="Arial"/>
        </w:rPr>
      </w:pPr>
      <w:r w:rsidRPr="007519B7">
        <w:rPr>
          <w:rFonts w:cs="Arial"/>
          <w:b/>
        </w:rPr>
        <w:t>Notes</w:t>
      </w:r>
      <w:r w:rsidR="00ED1B09">
        <w:rPr>
          <w:rFonts w:cs="Arial"/>
        </w:rPr>
        <w:t xml:space="preserve">: </w:t>
      </w:r>
      <w:r w:rsidR="00ED1B09">
        <w:rPr>
          <w:rFonts w:cs="Arial"/>
        </w:rPr>
        <w:tab/>
      </w:r>
      <w:r w:rsidR="007519B7">
        <w:rPr>
          <w:rFonts w:cs="Arial"/>
        </w:rPr>
        <w:t xml:space="preserve">John Scott </w:t>
      </w:r>
    </w:p>
    <w:p w:rsidR="00BD44E5" w:rsidRDefault="00897951">
      <w:pPr>
        <w:wordWrap w:val="0"/>
        <w:rPr>
          <w:rFonts w:cs="Arial"/>
        </w:rPr>
      </w:pPr>
      <w:r w:rsidRPr="007519B7">
        <w:rPr>
          <w:rFonts w:cs="Arial"/>
          <w:b/>
        </w:rPr>
        <w:t>Impression</w:t>
      </w:r>
      <w:r>
        <w:rPr>
          <w:rFonts w:cs="Arial"/>
        </w:rPr>
        <w:t xml:space="preserve">: </w:t>
      </w:r>
      <w:r w:rsidR="007519B7">
        <w:rPr>
          <w:rFonts w:cs="Arial"/>
        </w:rPr>
        <w:t xml:space="preserve"> Good attendance</w:t>
      </w:r>
      <w:r>
        <w:rPr>
          <w:rFonts w:cs="Arial"/>
        </w:rPr>
        <w:t xml:space="preserve">: </w:t>
      </w:r>
      <w:r w:rsidR="007519B7">
        <w:rPr>
          <w:rFonts w:cs="Arial"/>
        </w:rPr>
        <w:t xml:space="preserve"> participants appreciated the opportunity to engage with the speakers leading to stimulating</w:t>
      </w:r>
      <w:r>
        <w:rPr>
          <w:rFonts w:cs="Arial"/>
        </w:rPr>
        <w:t xml:space="preserve"> questions  to both of the experts</w:t>
      </w:r>
      <w:r w:rsidR="009B6045">
        <w:rPr>
          <w:rFonts w:cs="Arial"/>
        </w:rPr>
        <w:t>.  Positive atmosphere.</w:t>
      </w:r>
    </w:p>
    <w:p w:rsidR="00BD44E5" w:rsidRDefault="00897951">
      <w:pPr>
        <w:wordWrap w:val="0"/>
        <w:rPr>
          <w:rFonts w:cs="Arial"/>
        </w:rPr>
      </w:pPr>
      <w:r>
        <w:rPr>
          <w:rFonts w:cs="Arial"/>
        </w:rPr>
        <w:t>---------------------------------------------------------------------------------------------------------------------------------------</w:t>
      </w:r>
    </w:p>
    <w:p w:rsidR="00BD44E5" w:rsidRDefault="00897951">
      <w:pPr>
        <w:rPr>
          <w:rFonts w:cs="Arial"/>
        </w:rPr>
      </w:pPr>
      <w:proofErr w:type="spellStart"/>
      <w:r>
        <w:rPr>
          <w:rFonts w:cs="Arial"/>
        </w:rPr>
        <w:t>Ms</w:t>
      </w:r>
      <w:proofErr w:type="spellEnd"/>
      <w:r>
        <w:rPr>
          <w:rFonts w:cs="Arial"/>
        </w:rPr>
        <w:t xml:space="preserve"> </w:t>
      </w:r>
      <w:r w:rsidR="005239A9">
        <w:rPr>
          <w:rFonts w:cs="Arial"/>
        </w:rPr>
        <w:t xml:space="preserve">Eve </w:t>
      </w:r>
      <w:proofErr w:type="spellStart"/>
      <w:r w:rsidR="005239A9">
        <w:rPr>
          <w:rFonts w:cs="Arial"/>
        </w:rPr>
        <w:t>Intenmann</w:t>
      </w:r>
      <w:proofErr w:type="spellEnd"/>
      <w:r w:rsidR="005239A9">
        <w:rPr>
          <w:rFonts w:cs="Arial"/>
        </w:rPr>
        <w:t xml:space="preserve"> </w:t>
      </w:r>
      <w:r>
        <w:rPr>
          <w:rFonts w:cs="Arial"/>
        </w:rPr>
        <w:t xml:space="preserve">is </w:t>
      </w:r>
      <w:r>
        <w:t>‎</w:t>
      </w:r>
      <w:proofErr w:type="spellStart"/>
      <w:r>
        <w:t>Programme</w:t>
      </w:r>
      <w:proofErr w:type="spellEnd"/>
      <w:r>
        <w:t xml:space="preserve"> </w:t>
      </w:r>
      <w:r w:rsidR="005239A9">
        <w:t>Manager of the International Centre for Counter Terrorism</w:t>
      </w:r>
      <w:r w:rsidR="00F54AA5">
        <w:t xml:space="preserve"> in the Netherlands</w:t>
      </w:r>
      <w:r w:rsidR="005239A9">
        <w:t xml:space="preserve">.  </w:t>
      </w:r>
      <w:r>
        <w:t>She</w:t>
      </w:r>
      <w:r w:rsidR="005239A9">
        <w:t xml:space="preserve"> added to her plenary presentation by</w:t>
      </w:r>
      <w:r w:rsidR="008A7A98">
        <w:rPr>
          <w:rFonts w:cs="Arial"/>
        </w:rPr>
        <w:t xml:space="preserve"> reporting on field work in Africa and the far East</w:t>
      </w:r>
      <w:r>
        <w:rPr>
          <w:rFonts w:cs="Arial"/>
        </w:rPr>
        <w:t>. She stressed the following items:</w:t>
      </w:r>
    </w:p>
    <w:p w:rsidR="008A7A98" w:rsidRDefault="008A7A98" w:rsidP="008A7A98">
      <w:pPr>
        <w:pStyle w:val="Pargrafdellista"/>
        <w:numPr>
          <w:ilvl w:val="0"/>
          <w:numId w:val="3"/>
        </w:numPr>
        <w:wordWrap w:val="0"/>
        <w:rPr>
          <w:rFonts w:cs="Arial"/>
        </w:rPr>
      </w:pPr>
      <w:r>
        <w:rPr>
          <w:rFonts w:cs="Arial"/>
        </w:rPr>
        <w:t>The importance of focusing on youth</w:t>
      </w:r>
    </w:p>
    <w:p w:rsidR="0051160F" w:rsidRDefault="008A7A98" w:rsidP="008A7A98">
      <w:pPr>
        <w:pStyle w:val="Pargrafdellista"/>
        <w:numPr>
          <w:ilvl w:val="0"/>
          <w:numId w:val="3"/>
        </w:numPr>
        <w:wordWrap w:val="0"/>
        <w:rPr>
          <w:rFonts w:cs="Arial"/>
        </w:rPr>
      </w:pPr>
      <w:r>
        <w:rPr>
          <w:rFonts w:cs="Arial"/>
        </w:rPr>
        <w:t xml:space="preserve">That victims of terrorism represent a very difficult field – but that empowerment of victims was crucial for example, victims going into schools near the  </w:t>
      </w:r>
      <w:proofErr w:type="spellStart"/>
      <w:r>
        <w:rPr>
          <w:rFonts w:cs="Arial"/>
        </w:rPr>
        <w:t>centres</w:t>
      </w:r>
      <w:proofErr w:type="spellEnd"/>
      <w:r>
        <w:rPr>
          <w:rFonts w:cs="Arial"/>
        </w:rPr>
        <w:t xml:space="preserve"> of radicalization.</w:t>
      </w:r>
      <w:r w:rsidR="0051160F">
        <w:rPr>
          <w:rFonts w:cs="Arial"/>
        </w:rPr>
        <w:t xml:space="preserve">  It was a very powerful message to say ‘I lost my father/mother’.</w:t>
      </w:r>
    </w:p>
    <w:p w:rsidR="0051160F" w:rsidRDefault="0051160F" w:rsidP="0051160F">
      <w:pPr>
        <w:wordWrap w:val="0"/>
        <w:rPr>
          <w:rFonts w:cs="Arial"/>
        </w:rPr>
      </w:pPr>
      <w:proofErr w:type="spellStart"/>
      <w:r>
        <w:rPr>
          <w:rFonts w:cs="Arial"/>
        </w:rPr>
        <w:t>Mr</w:t>
      </w:r>
      <w:proofErr w:type="spellEnd"/>
      <w:r>
        <w:rPr>
          <w:rFonts w:cs="Arial"/>
        </w:rPr>
        <w:t xml:space="preserve"> Alberto Olalde from the School of Social Work, Un</w:t>
      </w:r>
      <w:r w:rsidR="00CF55FD">
        <w:rPr>
          <w:rFonts w:cs="Arial"/>
        </w:rPr>
        <w:t>i</w:t>
      </w:r>
      <w:r>
        <w:rPr>
          <w:rFonts w:cs="Arial"/>
        </w:rPr>
        <w:t>versity of Basque Country, gave a case illustration of ‘Carlo’ who had been convicted of 12 killings and</w:t>
      </w:r>
      <w:r w:rsidR="00AD4427">
        <w:rPr>
          <w:rFonts w:cs="Arial"/>
        </w:rPr>
        <w:t>, while serving his prison sentence,</w:t>
      </w:r>
      <w:r>
        <w:rPr>
          <w:rFonts w:cs="Arial"/>
        </w:rPr>
        <w:t xml:space="preserve"> wanted to contribute to reducing harm</w:t>
      </w:r>
      <w:r w:rsidR="00AD4427">
        <w:rPr>
          <w:rFonts w:cs="Arial"/>
        </w:rPr>
        <w:t>.  He</w:t>
      </w:r>
      <w:r>
        <w:rPr>
          <w:rFonts w:cs="Arial"/>
        </w:rPr>
        <w:t xml:space="preserve"> was prepared to meet with his victims’ family members.  All 12 were contacted and two families started the process of setting up a meeting – one said s/he ‘needed that to heal the harm’.  ‘Carlo’ began discussions and preparation for the meetings via role play, but there was a Government intervention imposing a condition that a </w:t>
      </w:r>
      <w:r w:rsidR="00AD4427">
        <w:rPr>
          <w:rFonts w:cs="Arial"/>
        </w:rPr>
        <w:t xml:space="preserve">Government </w:t>
      </w:r>
      <w:r>
        <w:rPr>
          <w:rFonts w:cs="Arial"/>
        </w:rPr>
        <w:t>representative would have to attend to take notes cancelling any prospect of confidentiality for the victim and the offender.  The process halted and has not been continued.</w:t>
      </w:r>
    </w:p>
    <w:p w:rsidR="0051160F" w:rsidRDefault="0051160F" w:rsidP="0051160F">
      <w:pPr>
        <w:wordWrap w:val="0"/>
        <w:rPr>
          <w:rFonts w:cs="Arial"/>
        </w:rPr>
      </w:pPr>
      <w:r>
        <w:rPr>
          <w:rFonts w:cs="Arial"/>
        </w:rPr>
        <w:lastRenderedPageBreak/>
        <w:t>The workshop continued via questions from the floor:</w:t>
      </w:r>
    </w:p>
    <w:p w:rsidR="0051160F" w:rsidRDefault="0051160F" w:rsidP="0051160F">
      <w:pPr>
        <w:pStyle w:val="Pargrafdellista"/>
        <w:numPr>
          <w:ilvl w:val="0"/>
          <w:numId w:val="4"/>
        </w:numPr>
        <w:wordWrap w:val="0"/>
        <w:rPr>
          <w:rFonts w:cs="Arial"/>
        </w:rPr>
      </w:pPr>
      <w:r>
        <w:rPr>
          <w:rFonts w:cs="Arial"/>
        </w:rPr>
        <w:t>Imposed conditions were the subject of the first question.</w:t>
      </w:r>
    </w:p>
    <w:p w:rsidR="00CF55FD" w:rsidRDefault="0051160F" w:rsidP="0051160F">
      <w:pPr>
        <w:pStyle w:val="Pargrafdellista"/>
        <w:numPr>
          <w:ilvl w:val="0"/>
          <w:numId w:val="4"/>
        </w:numPr>
        <w:wordWrap w:val="0"/>
        <w:rPr>
          <w:rFonts w:cs="Arial"/>
        </w:rPr>
      </w:pPr>
      <w:r>
        <w:rPr>
          <w:rFonts w:cs="Arial"/>
        </w:rPr>
        <w:t>What were the role of Victim Support Associations?  In some countries they were adamantly against mediation and sought only revenge and longer sentences.  They are often part of the political process</w:t>
      </w:r>
      <w:r w:rsidR="00CF55FD">
        <w:rPr>
          <w:rFonts w:cs="Arial"/>
        </w:rPr>
        <w:t xml:space="preserve"> and very influential.  </w:t>
      </w:r>
      <w:r w:rsidR="00F7320E">
        <w:rPr>
          <w:rFonts w:cs="Arial"/>
        </w:rPr>
        <w:t>Programs</w:t>
      </w:r>
      <w:r w:rsidR="00CF55FD">
        <w:rPr>
          <w:rFonts w:cs="Arial"/>
        </w:rPr>
        <w:t xml:space="preserve"> needed to allow time and energy to engage with relevant victim </w:t>
      </w:r>
      <w:proofErr w:type="spellStart"/>
      <w:r w:rsidR="00CF55FD">
        <w:rPr>
          <w:rFonts w:cs="Arial"/>
        </w:rPr>
        <w:t>organisations</w:t>
      </w:r>
      <w:proofErr w:type="spellEnd"/>
      <w:r w:rsidR="00CF55FD">
        <w:rPr>
          <w:rFonts w:cs="Arial"/>
        </w:rPr>
        <w:t xml:space="preserve"> to avoid creating later obstacles for the work.</w:t>
      </w:r>
    </w:p>
    <w:p w:rsidR="009F40DF" w:rsidRDefault="009F40DF" w:rsidP="0051160F">
      <w:pPr>
        <w:pStyle w:val="Pargrafdellista"/>
        <w:numPr>
          <w:ilvl w:val="0"/>
          <w:numId w:val="4"/>
        </w:numPr>
        <w:wordWrap w:val="0"/>
        <w:rPr>
          <w:rFonts w:cs="Arial"/>
        </w:rPr>
      </w:pPr>
      <w:r>
        <w:rPr>
          <w:rFonts w:cs="Arial"/>
        </w:rPr>
        <w:t>Where does prison fit into the t</w:t>
      </w:r>
      <w:r w:rsidR="00AD4427">
        <w:rPr>
          <w:rFonts w:cs="Arial"/>
        </w:rPr>
        <w:t xml:space="preserve">hree levels identified by </w:t>
      </w:r>
      <w:proofErr w:type="spellStart"/>
      <w:r w:rsidR="00AD4427">
        <w:rPr>
          <w:rFonts w:cs="Arial"/>
        </w:rPr>
        <w:t>Ms</w:t>
      </w:r>
      <w:proofErr w:type="spellEnd"/>
      <w:r w:rsidR="00AD4427">
        <w:rPr>
          <w:rFonts w:cs="Arial"/>
        </w:rPr>
        <w:t xml:space="preserve"> Ent</w:t>
      </w:r>
      <w:r>
        <w:rPr>
          <w:rFonts w:cs="Arial"/>
        </w:rPr>
        <w:t>enmann?  The answer covered the individual level where a meeting with a victim or victim representative could be the shock needed to persuade the offender to re-consider the religious or political extremist position.  The environmental level was key to isolation and avoidance of creating a self-perpetuating extremist group within the prison.  There was discussion of the implications for a life prisoner who would never be released.</w:t>
      </w:r>
    </w:p>
    <w:p w:rsidR="00C208F4" w:rsidRDefault="009F40DF" w:rsidP="0051160F">
      <w:pPr>
        <w:pStyle w:val="Pargrafdellista"/>
        <w:numPr>
          <w:ilvl w:val="0"/>
          <w:numId w:val="4"/>
        </w:numPr>
        <w:wordWrap w:val="0"/>
        <w:rPr>
          <w:rFonts w:cs="Arial"/>
        </w:rPr>
      </w:pPr>
      <w:r>
        <w:rPr>
          <w:rFonts w:cs="Arial"/>
        </w:rPr>
        <w:t>How to achieve a more effective voice for victims?  It was a big challenge to confront extremists with victims – one route was to ensure that the religion and ethnicity of the perpetrator and victim are matched.  Another was to meet in schools or Mosques so the environment was non-confrontational</w:t>
      </w:r>
      <w:r w:rsidR="00C208F4">
        <w:rPr>
          <w:rFonts w:cs="Arial"/>
        </w:rPr>
        <w:t xml:space="preserve"> – particularly with young people for whom ‘learning’ was the key</w:t>
      </w:r>
      <w:r>
        <w:rPr>
          <w:rFonts w:cs="Arial"/>
        </w:rPr>
        <w:t>.</w:t>
      </w:r>
      <w:r w:rsidR="00C208F4">
        <w:rPr>
          <w:rFonts w:cs="Arial"/>
        </w:rPr>
        <w:t xml:space="preserve">  A process of ‘</w:t>
      </w:r>
      <w:r w:rsidR="00AD4427">
        <w:rPr>
          <w:rFonts w:cs="Arial"/>
        </w:rPr>
        <w:t>f</w:t>
      </w:r>
      <w:r w:rsidR="00C208F4">
        <w:rPr>
          <w:rFonts w:cs="Arial"/>
        </w:rPr>
        <w:t>orgiveness’ was another focus.</w:t>
      </w:r>
    </w:p>
    <w:p w:rsidR="0051160F" w:rsidRDefault="009F40DF" w:rsidP="0051160F">
      <w:pPr>
        <w:pStyle w:val="Pargrafdellista"/>
        <w:numPr>
          <w:ilvl w:val="0"/>
          <w:numId w:val="4"/>
        </w:numPr>
        <w:wordWrap w:val="0"/>
        <w:rPr>
          <w:rFonts w:cs="Arial"/>
        </w:rPr>
      </w:pPr>
      <w:r>
        <w:rPr>
          <w:rFonts w:cs="Arial"/>
        </w:rPr>
        <w:t xml:space="preserve"> </w:t>
      </w:r>
      <w:r w:rsidR="00C208F4">
        <w:rPr>
          <w:rFonts w:cs="Arial"/>
        </w:rPr>
        <w:t xml:space="preserve">What was the difference with offenders motivated by a political or separatist </w:t>
      </w:r>
      <w:proofErr w:type="spellStart"/>
      <w:r w:rsidR="00C208F4">
        <w:rPr>
          <w:rFonts w:cs="Arial"/>
        </w:rPr>
        <w:t>programme</w:t>
      </w:r>
      <w:proofErr w:type="spellEnd"/>
      <w:r w:rsidR="00C208F4">
        <w:rPr>
          <w:rFonts w:cs="Arial"/>
        </w:rPr>
        <w:t>?  There is a need to recognize the human in the conflict – that a peace process might separate the offender from ‘common’ criminals but an alteration in the macro political priorities can set processes back many years – e.g. a more punitive Government.  Workers needed to work on the post-conflict scenario as well as the current focus.</w:t>
      </w:r>
    </w:p>
    <w:p w:rsidR="00C208F4" w:rsidRDefault="00C208F4" w:rsidP="0051160F">
      <w:pPr>
        <w:pStyle w:val="Pargrafdellista"/>
        <w:numPr>
          <w:ilvl w:val="0"/>
          <w:numId w:val="4"/>
        </w:numPr>
        <w:wordWrap w:val="0"/>
        <w:rPr>
          <w:rFonts w:cs="Arial"/>
        </w:rPr>
      </w:pPr>
      <w:r>
        <w:rPr>
          <w:rFonts w:cs="Arial"/>
        </w:rPr>
        <w:t>Macro level ‘restorative justice’ process was vital – e.g. the Peace and Reconciliation process in South Africa where clear leadership was essential for moral and practical reasons.</w:t>
      </w:r>
    </w:p>
    <w:p w:rsidR="00C208F4" w:rsidRDefault="00C208F4" w:rsidP="0051160F">
      <w:pPr>
        <w:pStyle w:val="Pargrafdellista"/>
        <w:numPr>
          <w:ilvl w:val="0"/>
          <w:numId w:val="4"/>
        </w:numPr>
        <w:wordWrap w:val="0"/>
        <w:rPr>
          <w:rFonts w:cs="Arial"/>
        </w:rPr>
      </w:pPr>
      <w:r>
        <w:rPr>
          <w:rFonts w:cs="Arial"/>
        </w:rPr>
        <w:t xml:space="preserve">A problem for probation was to define the </w:t>
      </w:r>
      <w:r w:rsidR="00E228BE">
        <w:rPr>
          <w:rFonts w:cs="Arial"/>
        </w:rPr>
        <w:t>community standards for</w:t>
      </w:r>
      <w:r>
        <w:rPr>
          <w:rFonts w:cs="Arial"/>
        </w:rPr>
        <w:t xml:space="preserve"> de-</w:t>
      </w:r>
      <w:proofErr w:type="spellStart"/>
      <w:r>
        <w:rPr>
          <w:rFonts w:cs="Arial"/>
        </w:rPr>
        <w:t>radicalisation</w:t>
      </w:r>
      <w:proofErr w:type="spellEnd"/>
      <w:r w:rsidR="00E228BE">
        <w:rPr>
          <w:rFonts w:cs="Arial"/>
        </w:rPr>
        <w:t xml:space="preserve"> – to identify what were the similarities and differences in working with – gangs, jihadists or white supremacists for example.</w:t>
      </w:r>
    </w:p>
    <w:p w:rsidR="00F54AA5" w:rsidRDefault="00E228BE" w:rsidP="0051160F">
      <w:pPr>
        <w:pStyle w:val="Pargrafdellista"/>
        <w:numPr>
          <w:ilvl w:val="0"/>
          <w:numId w:val="4"/>
        </w:numPr>
        <w:wordWrap w:val="0"/>
        <w:rPr>
          <w:rFonts w:cs="Arial"/>
        </w:rPr>
      </w:pPr>
      <w:r>
        <w:rPr>
          <w:rFonts w:cs="Arial"/>
        </w:rPr>
        <w:t xml:space="preserve">What were the lessons for prevention?  </w:t>
      </w:r>
      <w:proofErr w:type="spellStart"/>
      <w:r>
        <w:rPr>
          <w:rFonts w:cs="Arial"/>
        </w:rPr>
        <w:t>Organised</w:t>
      </w:r>
      <w:proofErr w:type="spellEnd"/>
      <w:r>
        <w:rPr>
          <w:rFonts w:cs="Arial"/>
        </w:rPr>
        <w:t xml:space="preserve"> crime was used as an illustration – in Italy, work was concentrated on the 14-18 age group on ‘stop violence </w:t>
      </w:r>
      <w:proofErr w:type="spellStart"/>
      <w:r>
        <w:rPr>
          <w:rFonts w:cs="Arial"/>
        </w:rPr>
        <w:t>programmes</w:t>
      </w:r>
      <w:proofErr w:type="spellEnd"/>
      <w:r>
        <w:rPr>
          <w:rFonts w:cs="Arial"/>
        </w:rPr>
        <w:t>’.  In Sweden, similar methods were a priority and rehabilitation for released extremist prisoners was compared to Circles of Support and Accountability – methods used to reduce the risk of sex offenders re-offending using volunteers and ex-offenders.  There was a cautious note about involving past-</w:t>
      </w:r>
      <w:proofErr w:type="spellStart"/>
      <w:r>
        <w:rPr>
          <w:rFonts w:cs="Arial"/>
        </w:rPr>
        <w:t>radicalised</w:t>
      </w:r>
      <w:proofErr w:type="spellEnd"/>
      <w:r>
        <w:rPr>
          <w:rFonts w:cs="Arial"/>
        </w:rPr>
        <w:t xml:space="preserve"> offenders, care needed to ensure that the person has moved on and sustained a resolved set of attitudes and experiences.</w:t>
      </w:r>
    </w:p>
    <w:p w:rsidR="00F7320E" w:rsidRDefault="00F7320E" w:rsidP="00F7320E">
      <w:pPr>
        <w:wordWrap w:val="0"/>
        <w:rPr>
          <w:rFonts w:cs="Arial"/>
        </w:rPr>
      </w:pPr>
    </w:p>
    <w:p w:rsidR="00F7320E" w:rsidRDefault="00F7320E" w:rsidP="00F7320E">
      <w:pPr>
        <w:wordWrap w:val="0"/>
        <w:rPr>
          <w:rFonts w:cs="Arial"/>
        </w:rPr>
      </w:pPr>
    </w:p>
    <w:p w:rsidR="00BB326F" w:rsidRDefault="00BB326F" w:rsidP="00F7320E">
      <w:pPr>
        <w:wordWrap w:val="0"/>
        <w:rPr>
          <w:rFonts w:cs="Arial"/>
        </w:rPr>
      </w:pPr>
    </w:p>
    <w:p w:rsidR="00BB326F" w:rsidRPr="00F7320E" w:rsidRDefault="00BB326F" w:rsidP="00F7320E">
      <w:pPr>
        <w:wordWrap w:val="0"/>
        <w:rPr>
          <w:rFonts w:cs="Arial"/>
        </w:rPr>
      </w:pPr>
      <w:bookmarkStart w:id="0" w:name="_GoBack"/>
      <w:bookmarkEnd w:id="0"/>
    </w:p>
    <w:p w:rsidR="00BD44E5" w:rsidRDefault="00F54AA5">
      <w:pPr>
        <w:wordWrap w:val="0"/>
        <w:rPr>
          <w:rFonts w:cs="Arial"/>
        </w:rPr>
      </w:pPr>
      <w:r>
        <w:rPr>
          <w:rFonts w:cs="Arial"/>
        </w:rPr>
        <w:lastRenderedPageBreak/>
        <w:t>Willem van der Brugge thanked the presenters and participants for their contributions to an excellent</w:t>
      </w:r>
      <w:r w:rsidR="003C5802">
        <w:rPr>
          <w:rFonts w:cs="Arial"/>
        </w:rPr>
        <w:t xml:space="preserve"> </w:t>
      </w:r>
      <w:r>
        <w:rPr>
          <w:rFonts w:cs="Arial"/>
        </w:rPr>
        <w:t>workshop.</w:t>
      </w:r>
    </w:p>
    <w:p w:rsidR="00ED1B09" w:rsidRPr="00ED1B09" w:rsidRDefault="00ED1B09" w:rsidP="00ED1B09">
      <w:pPr>
        <w:wordWrap w:val="0"/>
        <w:jc w:val="right"/>
        <w:rPr>
          <w:rFonts w:cs="Arial"/>
        </w:rPr>
      </w:pPr>
      <w:proofErr w:type="spellStart"/>
      <w:r w:rsidRPr="00ED1B09">
        <w:rPr>
          <w:rFonts w:cs="Arial"/>
          <w:b/>
        </w:rPr>
        <w:t>EuroPris</w:t>
      </w:r>
      <w:proofErr w:type="spellEnd"/>
      <w:r w:rsidRPr="00ED1B09">
        <w:rPr>
          <w:rFonts w:cs="Arial"/>
        </w:rPr>
        <w:t xml:space="preserve"> - European </w:t>
      </w:r>
      <w:proofErr w:type="spellStart"/>
      <w:r w:rsidRPr="00ED1B09">
        <w:rPr>
          <w:rFonts w:cs="Arial"/>
        </w:rPr>
        <w:t>Organisation</w:t>
      </w:r>
      <w:proofErr w:type="spellEnd"/>
      <w:r w:rsidRPr="00ED1B09">
        <w:rPr>
          <w:rFonts w:cs="Arial"/>
        </w:rPr>
        <w:t xml:space="preserve"> of Prison and Correctional Services</w:t>
      </w:r>
    </w:p>
    <w:p w:rsidR="00ED1B09" w:rsidRPr="00ED1B09" w:rsidRDefault="00ED1B09" w:rsidP="00ED1B09">
      <w:pPr>
        <w:wordWrap w:val="0"/>
        <w:jc w:val="right"/>
        <w:rPr>
          <w:rFonts w:cs="Arial"/>
        </w:rPr>
      </w:pPr>
      <w:r w:rsidRPr="00ED1B09">
        <w:rPr>
          <w:rFonts w:cs="Arial"/>
          <w:b/>
        </w:rPr>
        <w:t>EFRJ</w:t>
      </w:r>
      <w:r w:rsidRPr="00ED1B09">
        <w:rPr>
          <w:rFonts w:cs="Arial"/>
        </w:rPr>
        <w:t>- European Forum for Restorative Justice</w:t>
      </w:r>
    </w:p>
    <w:p w:rsidR="00BD44E5" w:rsidRDefault="00ED1B09" w:rsidP="00ED1B09">
      <w:pPr>
        <w:wordWrap w:val="0"/>
        <w:jc w:val="right"/>
        <w:rPr>
          <w:rFonts w:cs="Arial"/>
        </w:rPr>
      </w:pPr>
      <w:r w:rsidRPr="00ED1B09">
        <w:rPr>
          <w:rFonts w:cs="Arial"/>
          <w:b/>
        </w:rPr>
        <w:t>CEP</w:t>
      </w:r>
      <w:r w:rsidRPr="00ED1B09">
        <w:rPr>
          <w:rFonts w:cs="Arial"/>
        </w:rPr>
        <w:t xml:space="preserve"> - Confederation of European Probation</w:t>
      </w:r>
    </w:p>
    <w:p w:rsidR="00BD44E5" w:rsidRDefault="00BD44E5">
      <w:pPr>
        <w:wordWrap w:val="0"/>
        <w:rPr>
          <w:rFonts w:cs="Arial"/>
        </w:rPr>
      </w:pPr>
    </w:p>
    <w:p w:rsidR="00BD44E5" w:rsidRDefault="00BD44E5">
      <w:pPr>
        <w:wordWrap w:val="0"/>
        <w:rPr>
          <w:rFonts w:cs="Arial"/>
        </w:rPr>
      </w:pPr>
    </w:p>
    <w:sectPr w:rsidR="00BD44E5" w:rsidSect="00F7320E">
      <w:footerReference w:type="default" r:id="rId12"/>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46E" w:rsidRDefault="0082146E" w:rsidP="00E9532E">
      <w:pPr>
        <w:spacing w:after="0" w:line="240" w:lineRule="auto"/>
      </w:pPr>
      <w:r>
        <w:separator/>
      </w:r>
    </w:p>
  </w:endnote>
  <w:endnote w:type="continuationSeparator" w:id="0">
    <w:p w:rsidR="0082146E" w:rsidRDefault="0082146E" w:rsidP="00E9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함초롬돋움">
    <w:altName w:val="Arial Unicode MS"/>
    <w:panose1 w:val="00000000000000000000"/>
    <w:charset w:val="00"/>
    <w:family w:val="auto"/>
    <w:notTrueType/>
    <w:pitch w:val="default"/>
    <w:sig w:usb0="00000000" w:usb1="11DFFFFF" w:usb2="001BFDD7" w:usb3="00000001" w:csb0="001F007F" w:csb1="00000001"/>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366841"/>
      <w:docPartObj>
        <w:docPartGallery w:val="Page Numbers (Bottom of Page)"/>
        <w:docPartUnique/>
      </w:docPartObj>
    </w:sdtPr>
    <w:sdtEndPr/>
    <w:sdtContent>
      <w:p w:rsidR="00ED1B09" w:rsidRDefault="00ED1B09" w:rsidP="00ED1B09">
        <w:pPr>
          <w:pStyle w:val="Peu"/>
          <w:jc w:val="center"/>
        </w:pPr>
        <w:r>
          <w:fldChar w:fldCharType="begin"/>
        </w:r>
        <w:r>
          <w:instrText>PAGE   \* MERGEFORMAT</w:instrText>
        </w:r>
        <w:r>
          <w:fldChar w:fldCharType="separate"/>
        </w:r>
        <w:r w:rsidR="00BB326F" w:rsidRPr="00BB326F">
          <w:rPr>
            <w:noProof/>
            <w:lang w:val="ca-ES"/>
          </w:rPr>
          <w:t>1</w:t>
        </w:r>
        <w:r>
          <w:fldChar w:fldCharType="end"/>
        </w:r>
      </w:p>
    </w:sdtContent>
  </w:sdt>
  <w:p w:rsidR="00E9532E" w:rsidRDefault="00ED1B09" w:rsidP="00ED1B09">
    <w:pPr>
      <w:pStyle w:val="Peu"/>
      <w:jc w:val="right"/>
    </w:pPr>
    <w:r w:rsidRPr="00ED1B09">
      <w:rPr>
        <w:rFonts w:ascii="Tw Cen MT Condensed" w:eastAsia="Calibri" w:hAnsi="Tw Cen MT Condensed" w:cs="Times New Roman"/>
        <w:noProof/>
        <w:sz w:val="16"/>
        <w:szCs w:val="16"/>
        <w:lang w:val="ca-ES" w:eastAsia="ca-ES"/>
      </w:rPr>
      <w:drawing>
        <wp:inline distT="0" distB="0" distL="0" distR="0" wp14:anchorId="09E51EC8" wp14:editId="35DA9102">
          <wp:extent cx="2257425" cy="352425"/>
          <wp:effectExtent l="0" t="0" r="9525" b="9525"/>
          <wp:docPr id="7" name="Afbeelding 2" descr="Nieuw logo EU-vermelding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ieuw logo EU-vermelding blau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7425"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46E" w:rsidRDefault="0082146E" w:rsidP="00E9532E">
      <w:pPr>
        <w:spacing w:after="0" w:line="240" w:lineRule="auto"/>
      </w:pPr>
      <w:r>
        <w:separator/>
      </w:r>
    </w:p>
  </w:footnote>
  <w:footnote w:type="continuationSeparator" w:id="0">
    <w:p w:rsidR="0082146E" w:rsidRDefault="0082146E" w:rsidP="00E953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82AB1E"/>
    <w:multiLevelType w:val="hybridMultilevel"/>
    <w:tmpl w:val="3FE8FD9E"/>
    <w:lvl w:ilvl="0" w:tplc="0409006C">
      <w:start w:val="1"/>
      <w:numFmt w:val="bullet"/>
      <w:lvlText w:val=""/>
      <w:lvlJc w:val="left"/>
      <w:pPr>
        <w:ind w:left="800" w:hanging="400"/>
      </w:pPr>
      <w:rPr>
        <w:rFonts w:ascii="Wingdings" w:eastAsia="Wingdings" w:hAnsi="Wingdings" w:cs="Wingdings" w:hint="default"/>
      </w:rPr>
    </w:lvl>
    <w:lvl w:ilvl="1" w:tplc="0409006E">
      <w:start w:val="1"/>
      <w:numFmt w:val="bullet"/>
      <w:lvlText w:val=""/>
      <w:lvlJc w:val="left"/>
      <w:pPr>
        <w:ind w:left="1200" w:hanging="400"/>
      </w:pPr>
      <w:rPr>
        <w:rFonts w:ascii="Wingdings" w:eastAsia="Wingdings" w:hAnsi="Wingdings" w:cs="Wingdings" w:hint="default"/>
      </w:rPr>
    </w:lvl>
    <w:lvl w:ilvl="2" w:tplc="04090075">
      <w:start w:val="1"/>
      <w:numFmt w:val="bullet"/>
      <w:lvlText w:val=""/>
      <w:lvlJc w:val="left"/>
      <w:pPr>
        <w:ind w:left="1600" w:hanging="400"/>
      </w:pPr>
      <w:rPr>
        <w:rFonts w:ascii="Wingdings" w:eastAsia="Wingdings" w:hAnsi="Wingdings" w:cs="Wingdings" w:hint="default"/>
      </w:rPr>
    </w:lvl>
    <w:lvl w:ilvl="3" w:tplc="0409006C">
      <w:start w:val="1"/>
      <w:numFmt w:val="bullet"/>
      <w:lvlText w:val=""/>
      <w:lvlJc w:val="left"/>
      <w:pPr>
        <w:ind w:left="2000" w:hanging="400"/>
      </w:pPr>
      <w:rPr>
        <w:rFonts w:ascii="Wingdings" w:eastAsia="Wingdings" w:hAnsi="Wingdings" w:cs="Wingdings" w:hint="default"/>
      </w:rPr>
    </w:lvl>
    <w:lvl w:ilvl="4" w:tplc="0409006E">
      <w:start w:val="1"/>
      <w:numFmt w:val="bullet"/>
      <w:lvlText w:val=""/>
      <w:lvlJc w:val="left"/>
      <w:pPr>
        <w:ind w:left="2400" w:hanging="400"/>
      </w:pPr>
      <w:rPr>
        <w:rFonts w:ascii="Wingdings" w:eastAsia="Wingdings" w:hAnsi="Wingdings" w:cs="Wingdings" w:hint="default"/>
      </w:rPr>
    </w:lvl>
    <w:lvl w:ilvl="5" w:tplc="04090075">
      <w:start w:val="1"/>
      <w:numFmt w:val="bullet"/>
      <w:lvlText w:val=""/>
      <w:lvlJc w:val="left"/>
      <w:pPr>
        <w:ind w:left="2800" w:hanging="400"/>
      </w:pPr>
      <w:rPr>
        <w:rFonts w:ascii="Wingdings" w:eastAsia="Wingdings" w:hAnsi="Wingdings" w:cs="Wingdings" w:hint="default"/>
      </w:rPr>
    </w:lvl>
    <w:lvl w:ilvl="6" w:tplc="0409006C">
      <w:start w:val="1"/>
      <w:numFmt w:val="bullet"/>
      <w:lvlText w:val=""/>
      <w:lvlJc w:val="left"/>
      <w:pPr>
        <w:ind w:left="3200" w:hanging="400"/>
      </w:pPr>
      <w:rPr>
        <w:rFonts w:ascii="Wingdings" w:eastAsia="Wingdings" w:hAnsi="Wingdings" w:cs="Wingdings" w:hint="default"/>
      </w:rPr>
    </w:lvl>
    <w:lvl w:ilvl="7" w:tplc="0409006E">
      <w:start w:val="1"/>
      <w:numFmt w:val="bullet"/>
      <w:lvlText w:val=""/>
      <w:lvlJc w:val="left"/>
      <w:pPr>
        <w:ind w:left="3600" w:hanging="400"/>
      </w:pPr>
      <w:rPr>
        <w:rFonts w:ascii="Wingdings" w:eastAsia="Wingdings" w:hAnsi="Wingdings" w:cs="Wingdings" w:hint="default"/>
      </w:rPr>
    </w:lvl>
    <w:lvl w:ilvl="8" w:tplc="04090075">
      <w:start w:val="1"/>
      <w:numFmt w:val="bullet"/>
      <w:lvlText w:val=""/>
      <w:lvlJc w:val="left"/>
      <w:pPr>
        <w:ind w:left="4000" w:hanging="400"/>
      </w:pPr>
      <w:rPr>
        <w:rFonts w:ascii="Wingdings" w:eastAsia="Wingdings" w:hAnsi="Wingdings" w:cs="Wingdings" w:hint="default"/>
      </w:rPr>
    </w:lvl>
  </w:abstractNum>
  <w:abstractNum w:abstractNumId="1">
    <w:nsid w:val="12AE4038"/>
    <w:multiLevelType w:val="hybridMultilevel"/>
    <w:tmpl w:val="ECE01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50B09C"/>
    <w:multiLevelType w:val="hybridMultilevel"/>
    <w:tmpl w:val="C6DA18B6"/>
    <w:lvl w:ilvl="0" w:tplc="0409006C">
      <w:start w:val="1"/>
      <w:numFmt w:val="bullet"/>
      <w:lvlText w:val=""/>
      <w:lvlJc w:val="left"/>
      <w:pPr>
        <w:ind w:left="800" w:hanging="400"/>
      </w:pPr>
      <w:rPr>
        <w:rFonts w:ascii="Wingdings" w:eastAsia="Wingdings" w:hAnsi="Wingdings" w:cs="Wingdings" w:hint="default"/>
      </w:rPr>
    </w:lvl>
    <w:lvl w:ilvl="1" w:tplc="0409006E">
      <w:start w:val="1"/>
      <w:numFmt w:val="bullet"/>
      <w:lvlText w:val=""/>
      <w:lvlJc w:val="left"/>
      <w:pPr>
        <w:ind w:left="1200" w:hanging="400"/>
      </w:pPr>
      <w:rPr>
        <w:rFonts w:ascii="Wingdings" w:eastAsia="Wingdings" w:hAnsi="Wingdings" w:cs="Wingdings" w:hint="default"/>
      </w:rPr>
    </w:lvl>
    <w:lvl w:ilvl="2" w:tplc="04090075">
      <w:start w:val="1"/>
      <w:numFmt w:val="bullet"/>
      <w:lvlText w:val=""/>
      <w:lvlJc w:val="left"/>
      <w:pPr>
        <w:ind w:left="1600" w:hanging="400"/>
      </w:pPr>
      <w:rPr>
        <w:rFonts w:ascii="Wingdings" w:eastAsia="Wingdings" w:hAnsi="Wingdings" w:cs="Wingdings" w:hint="default"/>
      </w:rPr>
    </w:lvl>
    <w:lvl w:ilvl="3" w:tplc="0409006C">
      <w:start w:val="1"/>
      <w:numFmt w:val="bullet"/>
      <w:lvlText w:val=""/>
      <w:lvlJc w:val="left"/>
      <w:pPr>
        <w:ind w:left="2000" w:hanging="400"/>
      </w:pPr>
      <w:rPr>
        <w:rFonts w:ascii="Wingdings" w:eastAsia="Wingdings" w:hAnsi="Wingdings" w:cs="Wingdings" w:hint="default"/>
      </w:rPr>
    </w:lvl>
    <w:lvl w:ilvl="4" w:tplc="0409006E">
      <w:start w:val="1"/>
      <w:numFmt w:val="bullet"/>
      <w:lvlText w:val=""/>
      <w:lvlJc w:val="left"/>
      <w:pPr>
        <w:ind w:left="2400" w:hanging="400"/>
      </w:pPr>
      <w:rPr>
        <w:rFonts w:ascii="Wingdings" w:eastAsia="Wingdings" w:hAnsi="Wingdings" w:cs="Wingdings" w:hint="default"/>
      </w:rPr>
    </w:lvl>
    <w:lvl w:ilvl="5" w:tplc="04090075">
      <w:start w:val="1"/>
      <w:numFmt w:val="bullet"/>
      <w:lvlText w:val=""/>
      <w:lvlJc w:val="left"/>
      <w:pPr>
        <w:ind w:left="2800" w:hanging="400"/>
      </w:pPr>
      <w:rPr>
        <w:rFonts w:ascii="Wingdings" w:eastAsia="Wingdings" w:hAnsi="Wingdings" w:cs="Wingdings" w:hint="default"/>
      </w:rPr>
    </w:lvl>
    <w:lvl w:ilvl="6" w:tplc="0409006C">
      <w:start w:val="1"/>
      <w:numFmt w:val="bullet"/>
      <w:lvlText w:val=""/>
      <w:lvlJc w:val="left"/>
      <w:pPr>
        <w:ind w:left="3200" w:hanging="400"/>
      </w:pPr>
      <w:rPr>
        <w:rFonts w:ascii="Wingdings" w:eastAsia="Wingdings" w:hAnsi="Wingdings" w:cs="Wingdings" w:hint="default"/>
      </w:rPr>
    </w:lvl>
    <w:lvl w:ilvl="7" w:tplc="0409006E">
      <w:start w:val="1"/>
      <w:numFmt w:val="bullet"/>
      <w:lvlText w:val=""/>
      <w:lvlJc w:val="left"/>
      <w:pPr>
        <w:ind w:left="3600" w:hanging="400"/>
      </w:pPr>
      <w:rPr>
        <w:rFonts w:ascii="Wingdings" w:eastAsia="Wingdings" w:hAnsi="Wingdings" w:cs="Wingdings" w:hint="default"/>
      </w:rPr>
    </w:lvl>
    <w:lvl w:ilvl="8" w:tplc="04090075">
      <w:start w:val="1"/>
      <w:numFmt w:val="bullet"/>
      <w:lvlText w:val=""/>
      <w:lvlJc w:val="left"/>
      <w:pPr>
        <w:ind w:left="4000" w:hanging="400"/>
      </w:pPr>
      <w:rPr>
        <w:rFonts w:ascii="Wingdings" w:eastAsia="Wingdings" w:hAnsi="Wingdings" w:cs="Wingdings" w:hint="default"/>
      </w:rPr>
    </w:lvl>
  </w:abstractNum>
  <w:abstractNum w:abstractNumId="3">
    <w:nsid w:val="7A696BDD"/>
    <w:multiLevelType w:val="hybridMultilevel"/>
    <w:tmpl w:val="94D06C84"/>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E5"/>
    <w:rsid w:val="003A24F4"/>
    <w:rsid w:val="003C5802"/>
    <w:rsid w:val="0051160F"/>
    <w:rsid w:val="005239A9"/>
    <w:rsid w:val="005D7E2C"/>
    <w:rsid w:val="007519B7"/>
    <w:rsid w:val="0082146E"/>
    <w:rsid w:val="00865686"/>
    <w:rsid w:val="00897951"/>
    <w:rsid w:val="008A7A98"/>
    <w:rsid w:val="009B6045"/>
    <w:rsid w:val="009F40DF"/>
    <w:rsid w:val="00AD4427"/>
    <w:rsid w:val="00BB326F"/>
    <w:rsid w:val="00BD44E5"/>
    <w:rsid w:val="00C208F4"/>
    <w:rsid w:val="00CF55FD"/>
    <w:rsid w:val="00E228BE"/>
    <w:rsid w:val="00E9532E"/>
    <w:rsid w:val="00EC1C41"/>
    <w:rsid w:val="00ED1B09"/>
    <w:rsid w:val="00EF177B"/>
    <w:rsid w:val="00F54AA5"/>
    <w:rsid w:val="00F7320E"/>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7A98"/>
    <w:pPr>
      <w:ind w:left="720"/>
      <w:contextualSpacing/>
    </w:pPr>
  </w:style>
  <w:style w:type="paragraph" w:styleId="Capalera">
    <w:name w:val="header"/>
    <w:basedOn w:val="Normal"/>
    <w:link w:val="CapaleraCar"/>
    <w:uiPriority w:val="99"/>
    <w:unhideWhenUsed/>
    <w:rsid w:val="00E9532E"/>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rsid w:val="00E9532E"/>
  </w:style>
  <w:style w:type="paragraph" w:styleId="Peu">
    <w:name w:val="footer"/>
    <w:basedOn w:val="Normal"/>
    <w:link w:val="PeuCar"/>
    <w:uiPriority w:val="99"/>
    <w:unhideWhenUsed/>
    <w:rsid w:val="00E9532E"/>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E9532E"/>
  </w:style>
  <w:style w:type="paragraph" w:styleId="Textdeglobus">
    <w:name w:val="Balloon Text"/>
    <w:basedOn w:val="Normal"/>
    <w:link w:val="TextdeglobusCar"/>
    <w:uiPriority w:val="99"/>
    <w:semiHidden/>
    <w:unhideWhenUsed/>
    <w:rsid w:val="00ED1B0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D1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A7A98"/>
    <w:pPr>
      <w:ind w:left="720"/>
      <w:contextualSpacing/>
    </w:pPr>
  </w:style>
  <w:style w:type="paragraph" w:styleId="Capalera">
    <w:name w:val="header"/>
    <w:basedOn w:val="Normal"/>
    <w:link w:val="CapaleraCar"/>
    <w:uiPriority w:val="99"/>
    <w:unhideWhenUsed/>
    <w:rsid w:val="00E9532E"/>
    <w:pPr>
      <w:tabs>
        <w:tab w:val="center" w:pos="4513"/>
        <w:tab w:val="right" w:pos="9026"/>
      </w:tabs>
      <w:spacing w:after="0" w:line="240" w:lineRule="auto"/>
    </w:pPr>
  </w:style>
  <w:style w:type="character" w:customStyle="1" w:styleId="CapaleraCar">
    <w:name w:val="Capçalera Car"/>
    <w:basedOn w:val="Tipusdelletraperdefectedelpargraf"/>
    <w:link w:val="Capalera"/>
    <w:uiPriority w:val="99"/>
    <w:rsid w:val="00E9532E"/>
  </w:style>
  <w:style w:type="paragraph" w:styleId="Peu">
    <w:name w:val="footer"/>
    <w:basedOn w:val="Normal"/>
    <w:link w:val="PeuCar"/>
    <w:uiPriority w:val="99"/>
    <w:unhideWhenUsed/>
    <w:rsid w:val="00E9532E"/>
    <w:pPr>
      <w:tabs>
        <w:tab w:val="center" w:pos="4513"/>
        <w:tab w:val="right" w:pos="9026"/>
      </w:tabs>
      <w:spacing w:after="0" w:line="240" w:lineRule="auto"/>
    </w:pPr>
  </w:style>
  <w:style w:type="character" w:customStyle="1" w:styleId="PeuCar">
    <w:name w:val="Peu Car"/>
    <w:basedOn w:val="Tipusdelletraperdefectedelpargraf"/>
    <w:link w:val="Peu"/>
    <w:uiPriority w:val="99"/>
    <w:rsid w:val="00E9532E"/>
  </w:style>
  <w:style w:type="paragraph" w:styleId="Textdeglobus">
    <w:name w:val="Balloon Text"/>
    <w:basedOn w:val="Normal"/>
    <w:link w:val="TextdeglobusCar"/>
    <w:uiPriority w:val="99"/>
    <w:semiHidden/>
    <w:unhideWhenUsed/>
    <w:rsid w:val="00ED1B09"/>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D1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jpg@01D1081F.01A7882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함초롬돋움"/>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함초롬돋움"/>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4327</Characters>
  <Application>Microsoft Office Word</Application>
  <DocSecurity>0</DocSecurity>
  <Lines>36</Lines>
  <Paragraphs>10</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2015-11-09T07:54:00Z</dcterms:created>
  <dcterms:modified xsi:type="dcterms:W3CDTF">2015-11-09T08:56:00Z</dcterms:modified>
</cp:coreProperties>
</file>